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156733">
              <w:rPr>
                <w:rFonts w:ascii="Tahoma" w:eastAsia="Batang" w:hAnsi="Tahoma" w:cs="Tahoma"/>
                <w:sz w:val="22"/>
                <w:szCs w:val="22"/>
              </w:rPr>
              <w:t>30</w:t>
            </w: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156733">
              <w:rPr>
                <w:rFonts w:ascii="Tahoma" w:eastAsia="Batang" w:hAnsi="Tahoma" w:cs="Tahoma"/>
                <w:sz w:val="22"/>
                <w:szCs w:val="22"/>
              </w:rPr>
              <w:t>CILA NON ONERSOA: RISANAMENTO IN MURATURA PROT. N. 6053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56733"/>
    <w:rsid w:val="001C7978"/>
    <w:rsid w:val="00266E97"/>
    <w:rsid w:val="002B27AA"/>
    <w:rsid w:val="00560188"/>
    <w:rsid w:val="005747C8"/>
    <w:rsid w:val="007C29E8"/>
    <w:rsid w:val="007F44EC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2018-01-25T09:32:00Z</dcterms:created>
  <dcterms:modified xsi:type="dcterms:W3CDTF">2018-01-25T09:32:00Z</dcterms:modified>
</cp:coreProperties>
</file>